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0C94" w:rsidRDefault="007E0A35">
      <w:r>
        <w:rPr>
          <w:noProof/>
        </w:rPr>
        <w:drawing>
          <wp:inline distT="0" distB="0" distL="0" distR="0">
            <wp:extent cx="3766184" cy="1070754"/>
            <wp:effectExtent l="0" t="0" r="0" b="0"/>
            <wp:docPr id="3" name="image3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close up of a sig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6184" cy="10707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-203199</wp:posOffset>
                </wp:positionV>
                <wp:extent cx="1718945" cy="36944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1290" y="3600039"/>
                          <a:ext cx="1709420" cy="359923"/>
                        </a:xfrm>
                        <a:prstGeom prst="rect">
                          <a:avLst/>
                        </a:prstGeom>
                        <a:solidFill>
                          <a:srgbClr val="175A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47ED6C" w14:textId="0D198EA5" w:rsidR="00860C94" w:rsidRDefault="00EA5D6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FFFFFF"/>
                                <w:sz w:val="28"/>
                              </w:rPr>
                              <w:t>ACCESS CENTER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9pt;margin-top:-16pt;width:135.35pt;height:2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" fillcolor="#175a90" stroked="f">
                <v:textbox inset="2.53958mm,1.2694mm,2.53958mm,1.2694mm">
                  <w:txbxContent>
                    <w:p w14:paraId="5B47ED6C" w14:textId="0D198EA5" w:rsidR="00860C94" w:rsidRDefault="00EA5D6B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b/>
                          <w:color w:val="FFFFFF"/>
                          <w:sz w:val="28"/>
                        </w:rPr>
                        <w:t>ACCESS CENTER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860C94" w:rsidRDefault="007E0A35">
      <w:pPr>
        <w:rPr>
          <w:rFonts w:ascii="Iowan Old Style" w:eastAsia="Iowan Old Style" w:hAnsi="Iowan Old Style" w:cs="Iowan Old Style"/>
          <w:b/>
          <w:color w:val="175A90"/>
          <w:sz w:val="44"/>
          <w:szCs w:val="44"/>
        </w:rPr>
      </w:pPr>
      <w:r>
        <w:rPr>
          <w:rFonts w:ascii="Iowan Old Style" w:eastAsia="Iowan Old Style" w:hAnsi="Iowan Old Style" w:cs="Iowan Old Style"/>
          <w:b/>
          <w:color w:val="175A90"/>
          <w:sz w:val="44"/>
          <w:szCs w:val="44"/>
        </w:rPr>
        <w:t>What to bring to your appointment</w:t>
      </w:r>
    </w:p>
    <w:p w14:paraId="00000003" w14:textId="77777777" w:rsidR="00860C94" w:rsidRDefault="007E0A35">
      <w:pPr>
        <w:ind w:left="-2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867400" cy="158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CBA57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867400" cy="15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4" w14:textId="77777777" w:rsidR="00860C94" w:rsidRDefault="00860C94">
      <w:pPr>
        <w:rPr>
          <w:rFonts w:ascii="Avenir" w:eastAsia="Avenir" w:hAnsi="Avenir" w:cs="Avenir"/>
          <w:b/>
          <w:color w:val="175A90"/>
        </w:rPr>
      </w:pPr>
    </w:p>
    <w:p w14:paraId="00000005" w14:textId="77777777" w:rsidR="00860C94" w:rsidRDefault="007E0A35">
      <w:pPr>
        <w:rPr>
          <w:rFonts w:ascii="Avenir" w:eastAsia="Avenir" w:hAnsi="Avenir" w:cs="Avenir"/>
          <w:b/>
          <w:color w:val="175A90"/>
        </w:rPr>
      </w:pPr>
      <w:r>
        <w:rPr>
          <w:rFonts w:ascii="Avenir" w:eastAsia="Avenir" w:hAnsi="Avenir" w:cs="Avenir"/>
          <w:b/>
          <w:color w:val="175A90"/>
        </w:rPr>
        <w:t>LOCATIONS</w:t>
      </w:r>
    </w:p>
    <w:p w14:paraId="00000006" w14:textId="25907D7E" w:rsidR="00860C94" w:rsidRDefault="007E0A35">
      <w:pPr>
        <w:rPr>
          <w:b/>
          <w:color w:val="000000"/>
        </w:rPr>
      </w:pPr>
      <w:r>
        <w:rPr>
          <w:color w:val="000000"/>
        </w:rPr>
        <w:t xml:space="preserve">Individuals may access all David Lawrence Centers programs and services in Naples by contacting our </w:t>
      </w:r>
      <w:r w:rsidR="00EA5D6B">
        <w:rPr>
          <w:color w:val="000000"/>
        </w:rPr>
        <w:t>Access Center</w:t>
      </w:r>
      <w:r>
        <w:rPr>
          <w:color w:val="000000"/>
        </w:rPr>
        <w:t xml:space="preserve"> at the David Lawrence Centers main campus off of Golden Gate Parkway located in Building B-1 at </w:t>
      </w:r>
      <w:r>
        <w:rPr>
          <w:b/>
          <w:color w:val="000000"/>
        </w:rPr>
        <w:t xml:space="preserve">6075 Bathey Lane. </w:t>
      </w:r>
    </w:p>
    <w:p w14:paraId="00000007" w14:textId="77777777" w:rsidR="00860C94" w:rsidRDefault="00860C94">
      <w:pPr>
        <w:rPr>
          <w:color w:val="000000"/>
        </w:rPr>
      </w:pPr>
    </w:p>
    <w:p w14:paraId="00000008" w14:textId="77777777" w:rsidR="00860C94" w:rsidRDefault="007E0A35">
      <w:pPr>
        <w:rPr>
          <w:b/>
          <w:color w:val="000000"/>
        </w:rPr>
      </w:pPr>
      <w:r>
        <w:rPr>
          <w:color w:val="000000"/>
        </w:rPr>
        <w:t xml:space="preserve">Services for clients in Immokalee can be accessed by contacting the David Lawrence Centers Immokalee Satellite Services Center office located at </w:t>
      </w:r>
      <w:r>
        <w:rPr>
          <w:b/>
          <w:color w:val="000000"/>
        </w:rPr>
        <w:t xml:space="preserve">425 North First Street. </w:t>
      </w:r>
    </w:p>
    <w:p w14:paraId="00000009" w14:textId="77777777" w:rsidR="00860C94" w:rsidRDefault="00860C94">
      <w:pPr>
        <w:rPr>
          <w:color w:val="000000"/>
        </w:rPr>
      </w:pPr>
    </w:p>
    <w:p w14:paraId="0000000A" w14:textId="77777777" w:rsidR="00860C94" w:rsidRDefault="007E0A35">
      <w:pPr>
        <w:rPr>
          <w:color w:val="175A90"/>
          <w:sz w:val="28"/>
          <w:szCs w:val="28"/>
        </w:rPr>
      </w:pPr>
      <w:r>
        <w:rPr>
          <w:rFonts w:ascii="Avenir" w:eastAsia="Avenir" w:hAnsi="Avenir" w:cs="Avenir"/>
          <w:b/>
          <w:color w:val="175A90"/>
          <w:sz w:val="28"/>
          <w:szCs w:val="28"/>
        </w:rPr>
        <w:t>PLEASE BRING THE FOLLOWING ITEMS TO YOUR INITIAL VISIT:</w:t>
      </w:r>
      <w:r>
        <w:rPr>
          <w:color w:val="175A90"/>
          <w:sz w:val="28"/>
          <w:szCs w:val="28"/>
        </w:rPr>
        <w:t xml:space="preserve"> </w:t>
      </w:r>
    </w:p>
    <w:p w14:paraId="0000000B" w14:textId="77777777" w:rsidR="00860C94" w:rsidRDefault="00860C94">
      <w:pPr>
        <w:rPr>
          <w:color w:val="175A90"/>
        </w:rPr>
      </w:pPr>
    </w:p>
    <w:p w14:paraId="0000000C" w14:textId="77777777" w:rsidR="00860C94" w:rsidRDefault="007E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940"/>
        <w:rPr>
          <w:color w:val="000000"/>
        </w:rPr>
      </w:pPr>
      <w:r>
        <w:rPr>
          <w:b/>
          <w:color w:val="175A90"/>
        </w:rPr>
        <w:t>Any discharge paperwork</w:t>
      </w:r>
      <w:r>
        <w:rPr>
          <w:color w:val="175A90"/>
        </w:rPr>
        <w:t xml:space="preserve"> </w:t>
      </w:r>
      <w:r>
        <w:rPr>
          <w:color w:val="000000"/>
        </w:rPr>
        <w:t>or records that will be helpful to your assessing clinician</w:t>
      </w:r>
      <w:r>
        <w:rPr>
          <w:color w:val="000000"/>
        </w:rPr>
        <w:br/>
      </w:r>
    </w:p>
    <w:p w14:paraId="0000000D" w14:textId="77777777" w:rsidR="00860C94" w:rsidRDefault="007E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940"/>
        <w:rPr>
          <w:color w:val="000000"/>
        </w:rPr>
      </w:pPr>
      <w:r>
        <w:rPr>
          <w:b/>
          <w:color w:val="175A90"/>
        </w:rPr>
        <w:t>Insurance card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14:paraId="0000000E" w14:textId="77777777" w:rsidR="00860C94" w:rsidRDefault="007E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940"/>
        <w:rPr>
          <w:color w:val="000000"/>
        </w:rPr>
      </w:pPr>
      <w:r>
        <w:rPr>
          <w:b/>
          <w:color w:val="175A90"/>
        </w:rPr>
        <w:t>Payment</w:t>
      </w:r>
      <w:r>
        <w:rPr>
          <w:color w:val="000000"/>
        </w:rPr>
        <w:t xml:space="preserve"> for services </w:t>
      </w:r>
      <w:r>
        <w:rPr>
          <w:color w:val="000000"/>
        </w:rPr>
        <w:br/>
      </w:r>
    </w:p>
    <w:p w14:paraId="0000000F" w14:textId="77777777" w:rsidR="00860C94" w:rsidRDefault="007E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940"/>
        <w:rPr>
          <w:color w:val="000000"/>
        </w:rPr>
      </w:pPr>
      <w:r>
        <w:rPr>
          <w:b/>
          <w:color w:val="175A90"/>
        </w:rPr>
        <w:t>If you do not have insurance,</w:t>
      </w:r>
      <w:r>
        <w:rPr>
          <w:color w:val="175A90"/>
        </w:rPr>
        <w:t xml:space="preserve"> </w:t>
      </w:r>
      <w:r>
        <w:rPr>
          <w:color w:val="000000"/>
        </w:rPr>
        <w:t>you may be eligible for a sliding fee scale discount.</w:t>
      </w:r>
    </w:p>
    <w:p w14:paraId="00000010" w14:textId="77777777" w:rsidR="00860C94" w:rsidRDefault="00860C94">
      <w:pPr>
        <w:rPr>
          <w:color w:val="000000"/>
        </w:rPr>
      </w:pPr>
    </w:p>
    <w:p w14:paraId="00000011" w14:textId="77777777" w:rsidR="00860C94" w:rsidRDefault="007E0A35">
      <w:pPr>
        <w:spacing w:line="276" w:lineRule="auto"/>
        <w:ind w:left="720"/>
        <w:rPr>
          <w:color w:val="000000"/>
          <w:sz w:val="22"/>
          <w:szCs w:val="22"/>
        </w:rPr>
      </w:pPr>
      <w:r>
        <w:rPr>
          <w:b/>
          <w:color w:val="175A90"/>
        </w:rPr>
        <w:t>In order to be evaluated for a discount</w:t>
      </w:r>
      <w:r>
        <w:rPr>
          <w:color w:val="000000"/>
        </w:rPr>
        <w:t>,</w:t>
      </w:r>
      <w:r>
        <w:rPr>
          <w:color w:val="000000"/>
          <w:sz w:val="22"/>
          <w:szCs w:val="22"/>
        </w:rPr>
        <w:t xml:space="preserve"> please provide sufficient proof of household income (proof of income for every person living in the household that receives any type of income). Per policy, we will need </w:t>
      </w:r>
      <w:r>
        <w:rPr>
          <w:b/>
          <w:color w:val="175A90"/>
          <w:sz w:val="22"/>
          <w:szCs w:val="22"/>
        </w:rPr>
        <w:t>at least one of the below items for each household member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br/>
      </w:r>
    </w:p>
    <w:p w14:paraId="00000012" w14:textId="77777777" w:rsidR="00860C94" w:rsidRDefault="007E0A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Tax Returns</w:t>
      </w:r>
      <w:r>
        <w:rPr>
          <w:color w:val="000000"/>
          <w:sz w:val="22"/>
          <w:szCs w:val="22"/>
        </w:rPr>
        <w:t xml:space="preserve"> (A 1040 form. W2’s cannot be accepted.)</w:t>
      </w:r>
    </w:p>
    <w:p w14:paraId="00000013" w14:textId="77777777" w:rsidR="00860C94" w:rsidRDefault="007E0A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Last three paystubs</w:t>
      </w:r>
      <w:r>
        <w:rPr>
          <w:color w:val="000000"/>
          <w:sz w:val="22"/>
          <w:szCs w:val="22"/>
        </w:rPr>
        <w:t xml:space="preserve"> from each job in which you/household member is employed</w:t>
      </w:r>
    </w:p>
    <w:p w14:paraId="00000015" w14:textId="77777777" w:rsidR="00860C94" w:rsidRDefault="007E0A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If you/household member receive unemployment,</w:t>
      </w:r>
      <w:r>
        <w:rPr>
          <w:color w:val="000000"/>
          <w:sz w:val="22"/>
          <w:szCs w:val="22"/>
        </w:rPr>
        <w:t xml:space="preserve"> bring a letter stating how much you/ household member receives. If you applied but were denied, you can bring denial letter.</w:t>
      </w:r>
    </w:p>
    <w:p w14:paraId="00000016" w14:textId="77777777" w:rsidR="00860C94" w:rsidRDefault="007E0A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If you/household member receive social security benefits,</w:t>
      </w:r>
      <w:r>
        <w:rPr>
          <w:color w:val="000000"/>
          <w:sz w:val="22"/>
          <w:szCs w:val="22"/>
        </w:rPr>
        <w:t xml:space="preserve"> bring a letter stating how much you/household member receives. </w:t>
      </w:r>
    </w:p>
    <w:p w14:paraId="00000017" w14:textId="77777777" w:rsidR="00860C94" w:rsidRDefault="00860C94">
      <w:pPr>
        <w:jc w:val="both"/>
        <w:rPr>
          <w:sz w:val="20"/>
          <w:szCs w:val="20"/>
        </w:rPr>
      </w:pPr>
    </w:p>
    <w:p w14:paraId="00000018" w14:textId="77777777" w:rsidR="00860C94" w:rsidRDefault="007E0A35">
      <w:pPr>
        <w:jc w:val="right"/>
        <w:rPr>
          <w:sz w:val="16"/>
          <w:szCs w:val="16"/>
        </w:rPr>
      </w:pPr>
      <w:r>
        <w:rPr>
          <w:sz w:val="16"/>
          <w:szCs w:val="16"/>
        </w:rPr>
        <w:t>MED-104 Advance Directives Education Handout  Rev. 1/04, 3/08, 10/10</w:t>
      </w:r>
    </w:p>
    <w:sectPr w:rsidR="00860C94">
      <w:footerReference w:type="default" r:id="rId9"/>
      <w:pgSz w:w="12240" w:h="15840"/>
      <w:pgMar w:top="1062" w:right="1560" w:bottom="900" w:left="1440" w:header="720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4D48" w14:textId="77777777" w:rsidR="00153177" w:rsidRDefault="00153177">
      <w:r>
        <w:separator/>
      </w:r>
    </w:p>
  </w:endnote>
  <w:endnote w:type="continuationSeparator" w:id="0">
    <w:p w14:paraId="1E7019D1" w14:textId="77777777" w:rsidR="00153177" w:rsidRDefault="0015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Iowan Old Styl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860C94" w:rsidRDefault="007E0A35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color w:val="0060A9"/>
        <w:sz w:val="16"/>
        <w:szCs w:val="16"/>
      </w:rPr>
    </w:pPr>
    <w:r>
      <w:rPr>
        <w:color w:val="0060A9"/>
        <w:sz w:val="16"/>
        <w:szCs w:val="16"/>
      </w:rPr>
      <w:t xml:space="preserve">6075 Bathey Lane  l  Naples, FL  l  34116  l  </w:t>
    </w:r>
    <w:r>
      <w:rPr>
        <w:smallCaps/>
        <w:color w:val="0060A9"/>
        <w:sz w:val="16"/>
        <w:szCs w:val="16"/>
      </w:rPr>
      <w:t>CALL 239-455-8500</w:t>
    </w:r>
    <w:r>
      <w:rPr>
        <w:color w:val="0060A9"/>
        <w:sz w:val="16"/>
        <w:szCs w:val="16"/>
      </w:rPr>
      <w:t xml:space="preserve">  l  DLCenters.org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-68092</wp:posOffset>
          </wp:positionH>
          <wp:positionV relativeFrom="paragraph">
            <wp:posOffset>-287667</wp:posOffset>
          </wp:positionV>
          <wp:extent cx="1019905" cy="564204"/>
          <wp:effectExtent l="0" t="0" r="0" b="0"/>
          <wp:wrapSquare wrapText="bothSides" distT="0" distB="0" distL="0" distR="0"/>
          <wp:docPr id="4" name="image4.png" descr="A picture containing shi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shirt&#10;&#10;Description automatically generated"/>
                  <pic:cNvPicPr preferRelativeResize="0"/>
                </pic:nvPicPr>
                <pic:blipFill>
                  <a:blip r:embed="rId1"/>
                  <a:srcRect l="15329" t="14413" b="15884"/>
                  <a:stretch>
                    <a:fillRect/>
                  </a:stretch>
                </pic:blipFill>
                <pic:spPr>
                  <a:xfrm>
                    <a:off x="0" y="0"/>
                    <a:ext cx="1019905" cy="5642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A" w14:textId="77777777" w:rsidR="00860C94" w:rsidRDefault="00860C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B286" w14:textId="77777777" w:rsidR="00153177" w:rsidRDefault="00153177">
      <w:r>
        <w:separator/>
      </w:r>
    </w:p>
  </w:footnote>
  <w:footnote w:type="continuationSeparator" w:id="0">
    <w:p w14:paraId="0229058E" w14:textId="77777777" w:rsidR="00153177" w:rsidRDefault="0015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B5693"/>
    <w:multiLevelType w:val="multilevel"/>
    <w:tmpl w:val="18DE63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B07803"/>
    <w:multiLevelType w:val="multilevel"/>
    <w:tmpl w:val="DA2A1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94"/>
    <w:rsid w:val="00153177"/>
    <w:rsid w:val="00511B61"/>
    <w:rsid w:val="007E0A35"/>
    <w:rsid w:val="00860C94"/>
    <w:rsid w:val="00E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D103"/>
  <w15:docId w15:val="{71CBF255-4565-4C8B-9066-CC873364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Siefer</cp:lastModifiedBy>
  <cp:revision>3</cp:revision>
  <dcterms:created xsi:type="dcterms:W3CDTF">2021-08-30T15:18:00Z</dcterms:created>
  <dcterms:modified xsi:type="dcterms:W3CDTF">2021-08-30T15:20:00Z</dcterms:modified>
</cp:coreProperties>
</file>